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1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РЕСПУБЛИКА ТАТАРСТАН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Исполнительный комитет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Афанасовского сельского поселения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Нижнекамского муниципального района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423551, Нижнекамский район, 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с. Большое Афанасово, ул. Молодежная,1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  <w:r>
              <w:rPr>
                <w:sz w:val="26"/>
                <w:szCs w:val="2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ТАТАРСТАН РЕСПУБЛИКАСЫ 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Түбән Кама муниципаль районы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Афанас авыл жирлеге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Башкарма комитеты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423551, Түбән Кама  районы, 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spacing w:line="220" w:lineRule="exact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Олы Афанас авылы Яшьлер урамы, 1</w:t>
            </w:r>
            <w:r>
              <w:rPr>
                <w:sz w:val="26"/>
                <w:szCs w:val="26"/>
                <w:lang w:val="tt-RU"/>
              </w:rPr>
            </w:r>
          </w:p>
          <w:p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</w:r>
            <w:r>
              <w:rPr>
                <w:sz w:val="26"/>
                <w:szCs w:val="2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тел./факс (8555) 44-43-39, электронный адрес: </w:t>
            </w:r>
            <w:hyperlink r:id="rId10" w:tooltip="mailto:Afanasovskoe.sp@tatar.ru" w:history="1">
              <w:r>
                <w:rPr>
                  <w:rStyle w:val="642"/>
                  <w:bCs/>
                  <w:sz w:val="26"/>
                  <w:szCs w:val="26"/>
                </w:rPr>
                <w:t xml:space="preserve">Afanasovskoe.sp@tatar.ru</w:t>
              </w:r>
            </w:hyperlink>
            <w:r>
              <w:rPr>
                <w:bCs/>
                <w:sz w:val="26"/>
                <w:szCs w:val="26"/>
              </w:rPr>
              <w:t xml:space="preserve">, сайт: </w:t>
            </w:r>
            <w:r>
              <w:rPr>
                <w:bCs/>
                <w:sz w:val="26"/>
                <w:szCs w:val="26"/>
                <w:lang w:val="en-US"/>
              </w:rPr>
              <w:t xml:space="preserve">www</w:t>
            </w:r>
            <w:r>
              <w:rPr>
                <w:bCs/>
                <w:sz w:val="26"/>
                <w:szCs w:val="26"/>
              </w:rPr>
              <w:t xml:space="preserve">.</w:t>
            </w:r>
            <w:r>
              <w:rPr>
                <w:bCs/>
                <w:sz w:val="26"/>
                <w:szCs w:val="26"/>
                <w:lang w:val="en-US"/>
              </w:rPr>
              <w:t xml:space="preserve">a</w:t>
            </w:r>
            <w:r>
              <w:rPr>
                <w:bCs/>
                <w:sz w:val="26"/>
                <w:szCs w:val="26"/>
              </w:rPr>
              <w:t xml:space="preserve">fanasovskoe-sp.ru</w:t>
            </w:r>
            <w:r>
              <w:rPr>
                <w:b/>
                <w:sz w:val="26"/>
                <w:szCs w:val="26"/>
                <w:lang w:val="tt-RU"/>
              </w:rPr>
            </w:r>
          </w:p>
        </w:tc>
      </w:tr>
    </w:tbl>
    <w:p>
      <w:pPr>
        <w:pStyle w:val="633"/>
        <w:jc w:val="right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</w:r>
      <w:r>
        <w:rPr>
          <w:sz w:val="27"/>
          <w:szCs w:val="27"/>
          <w:lang w:val="tt-RU"/>
        </w:rPr>
      </w:r>
    </w:p>
    <w:p>
      <w:pPr>
        <w:pStyle w:val="63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ПОСТАНОВЛЕНИЕ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КАРАР</w:t>
      </w:r>
      <w:r>
        <w:rPr>
          <w:sz w:val="27"/>
          <w:szCs w:val="27"/>
        </w:rPr>
      </w:r>
    </w:p>
    <w:p>
      <w:pPr>
        <w:pStyle w:val="633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11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  15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» октября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2025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33"/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3"/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134" w:hanging="283"/>
        <w:jc w:val="both"/>
      </w:pPr>
      <w:r/>
      <w:r/>
    </w:p>
    <w:p>
      <w:pPr>
        <w:jc w:val="center"/>
        <w:rPr>
          <w:b/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 xml:space="preserve">Об утверждении Порядка и методики планирования бюджетных</w:t>
      </w:r>
      <w:r>
        <w:rPr>
          <w:b/>
          <w:color w:val="171717"/>
          <w:sz w:val="28"/>
          <w:szCs w:val="28"/>
        </w:rPr>
      </w:r>
    </w:p>
    <w:p>
      <w:pPr>
        <w:jc w:val="center"/>
        <w:rPr>
          <w:b/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 xml:space="preserve">ассигнований бюджета </w:t>
      </w:r>
      <w:r>
        <w:rPr>
          <w:b/>
          <w:color w:val="171717"/>
          <w:sz w:val="28"/>
          <w:szCs w:val="28"/>
        </w:rPr>
        <w:t xml:space="preserve">Афанасовского</w:t>
      </w:r>
      <w:r>
        <w:rPr>
          <w:b/>
          <w:color w:val="171717"/>
          <w:sz w:val="28"/>
          <w:szCs w:val="28"/>
        </w:rPr>
        <w:t xml:space="preserve"> сельского поселения Нижнекамского муниципального района Республики Татарстан на 2026</w:t>
      </w:r>
      <w:r>
        <w:rPr>
          <w:b/>
          <w:color w:val="171717"/>
          <w:sz w:val="28"/>
          <w:szCs w:val="28"/>
        </w:rPr>
        <w:t xml:space="preserve"> год и плановый период 2027</w:t>
      </w:r>
      <w:r>
        <w:rPr>
          <w:b/>
          <w:color w:val="171717"/>
          <w:sz w:val="28"/>
          <w:szCs w:val="28"/>
        </w:rPr>
        <w:t xml:space="preserve"> и 2028</w:t>
      </w:r>
      <w:r>
        <w:rPr>
          <w:b/>
          <w:color w:val="171717"/>
          <w:sz w:val="28"/>
          <w:szCs w:val="28"/>
        </w:rPr>
        <w:t xml:space="preserve"> годов</w:t>
      </w:r>
      <w:r>
        <w:rPr>
          <w:b/>
          <w:color w:val="171717"/>
          <w:sz w:val="28"/>
          <w:szCs w:val="28"/>
        </w:rPr>
      </w:r>
    </w:p>
    <w:p>
      <w:pPr>
        <w:jc w:val="both"/>
        <w:rPr>
          <w:color w:val="171717"/>
          <w:sz w:val="26"/>
          <w:szCs w:val="26"/>
        </w:rPr>
      </w:pPr>
      <w:r>
        <w:rPr>
          <w:color w:val="171717"/>
          <w:sz w:val="26"/>
          <w:szCs w:val="26"/>
        </w:rPr>
      </w:r>
      <w:r>
        <w:rPr>
          <w:color w:val="171717"/>
          <w:sz w:val="26"/>
          <w:szCs w:val="26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174.2 Бюджетного кодекса Российской Федерации и в целях формирования бюджета МО «</w:t>
      </w: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»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годов, руководствуясь Уставом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tabs>
          <w:tab w:val="left" w:pos="1160" w:leader="none"/>
        </w:tabs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П о с т а н о в л я ю:</w:t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pacing w:val="40"/>
          <w:sz w:val="28"/>
          <w:szCs w:val="28"/>
        </w:rPr>
      </w:pPr>
      <w:r>
        <w:rPr>
          <w:color w:val="171717"/>
          <w:spacing w:val="40"/>
          <w:sz w:val="28"/>
          <w:szCs w:val="28"/>
        </w:rPr>
      </w:r>
      <w:r>
        <w:rPr>
          <w:color w:val="171717"/>
          <w:spacing w:val="40"/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1. Утвердить Порядок планирования бюджетных ассигнований на 2026</w:t>
      </w:r>
      <w:r>
        <w:rPr>
          <w:color w:val="171717"/>
          <w:sz w:val="28"/>
          <w:szCs w:val="28"/>
        </w:rPr>
        <w:t xml:space="preserve"> год и на плановый период 2027</w:t>
      </w:r>
      <w:r>
        <w:rPr>
          <w:color w:val="171717"/>
          <w:sz w:val="28"/>
          <w:szCs w:val="28"/>
        </w:rPr>
        <w:t xml:space="preserve"> и 2028</w:t>
      </w:r>
      <w:r>
        <w:rPr>
          <w:color w:val="171717"/>
          <w:sz w:val="28"/>
          <w:szCs w:val="28"/>
        </w:rPr>
        <w:t xml:space="preserve"> годов согласно приложению 1 к настоящему постановлению.</w:t>
      </w:r>
      <w:r>
        <w:rPr>
          <w:color w:val="171717"/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2. Утвердить методику планирования бюджетных ассигнований на 2026</w:t>
      </w:r>
      <w:r>
        <w:rPr>
          <w:color w:val="171717"/>
          <w:sz w:val="28"/>
          <w:szCs w:val="28"/>
        </w:rPr>
        <w:t xml:space="preserve"> год и на плановый период 2027</w:t>
      </w:r>
      <w:r>
        <w:rPr>
          <w:color w:val="171717"/>
          <w:sz w:val="28"/>
          <w:szCs w:val="28"/>
        </w:rPr>
        <w:t xml:space="preserve"> и 2028</w:t>
      </w:r>
      <w:r>
        <w:rPr>
          <w:color w:val="171717"/>
          <w:sz w:val="28"/>
          <w:szCs w:val="28"/>
        </w:rPr>
        <w:t xml:space="preserve"> годов согласно приложению 2 к настоящему постановлению. </w:t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3.Контроль за исполнением настоящего постановления оставляю за собой.</w:t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6"/>
          <w:szCs w:val="26"/>
        </w:rPr>
      </w:pPr>
      <w:r>
        <w:rPr>
          <w:color w:val="171717"/>
          <w:sz w:val="26"/>
          <w:szCs w:val="26"/>
        </w:rPr>
      </w:r>
      <w:r>
        <w:rPr>
          <w:color w:val="171717"/>
          <w:sz w:val="26"/>
          <w:szCs w:val="26"/>
        </w:rPr>
      </w:r>
    </w:p>
    <w:p>
      <w:pPr>
        <w:jc w:val="both"/>
        <w:rPr>
          <w:color w:val="171717"/>
          <w:sz w:val="26"/>
          <w:szCs w:val="26"/>
        </w:rPr>
      </w:pPr>
      <w:r>
        <w:rPr>
          <w:color w:val="171717"/>
          <w:sz w:val="26"/>
          <w:szCs w:val="26"/>
        </w:rPr>
      </w:r>
      <w:r>
        <w:rPr>
          <w:color w:val="171717"/>
          <w:sz w:val="26"/>
          <w:szCs w:val="26"/>
        </w:rPr>
      </w:r>
    </w:p>
    <w:p>
      <w:pPr>
        <w:jc w:val="both"/>
        <w:rPr>
          <w:color w:val="171717"/>
          <w:sz w:val="26"/>
          <w:szCs w:val="26"/>
        </w:rPr>
      </w:pPr>
      <w:r>
        <w:rPr>
          <w:color w:val="171717"/>
          <w:sz w:val="26"/>
          <w:szCs w:val="26"/>
        </w:rPr>
      </w:r>
      <w:r>
        <w:rPr>
          <w:color w:val="171717"/>
          <w:sz w:val="26"/>
          <w:szCs w:val="26"/>
        </w:rPr>
      </w:r>
    </w:p>
    <w:p>
      <w:pPr>
        <w:ind w:hanging="120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</w:t>
      </w:r>
      <w:r>
        <w:rPr>
          <w:sz w:val="28"/>
          <w:szCs w:val="28"/>
        </w:rPr>
      </w:r>
    </w:p>
    <w:p>
      <w:pPr>
        <w:ind w:hanging="120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Афанасовского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поселения: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Д.А.Филиппов</w:t>
      </w:r>
      <w:r>
        <w:rPr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</w:r>
      <w:r>
        <w:rPr>
          <w:color w:val="171717"/>
          <w:sz w:val="28"/>
          <w:szCs w:val="28"/>
        </w:rPr>
      </w:r>
    </w:p>
    <w:p>
      <w:pPr>
        <w:jc w:val="right"/>
        <w:rPr>
          <w:color w:val="171717"/>
        </w:rPr>
      </w:pPr>
      <w:r>
        <w:rPr>
          <w:color w:val="171717"/>
        </w:rPr>
      </w:r>
      <w:r>
        <w:rPr>
          <w:color w:val="171717"/>
        </w:rPr>
      </w:r>
    </w:p>
    <w:p>
      <w:pPr>
        <w:ind w:left="4956" w:firstLine="573"/>
        <w:jc w:val="both"/>
      </w:pPr>
      <w:r>
        <w:t xml:space="preserve">               </w:t>
      </w:r>
      <w:r>
        <w:t xml:space="preserve">Приложение № 1</w:t>
      </w:r>
      <w:r/>
    </w:p>
    <w:p>
      <w:pPr>
        <w:ind w:left="6358" w:right="-442"/>
        <w:spacing w:line="240" w:lineRule="atLeast"/>
      </w:pPr>
      <w:r>
        <w:t xml:space="preserve">к  Постановлению</w:t>
      </w:r>
      <w:r>
        <w:t xml:space="preserve"> руководителя</w:t>
      </w:r>
      <w:r/>
    </w:p>
    <w:p>
      <w:pPr>
        <w:ind w:left="6358" w:right="-442"/>
        <w:spacing w:line="240" w:lineRule="atLeast"/>
      </w:pPr>
      <w:r>
        <w:t xml:space="preserve">Исполнительного комитета</w:t>
      </w:r>
      <w:r/>
    </w:p>
    <w:p>
      <w:pPr>
        <w:ind w:left="6358" w:right="-442"/>
        <w:spacing w:line="240" w:lineRule="atLeast"/>
      </w:pPr>
      <w:r>
        <w:t xml:space="preserve">Афанасовского</w:t>
      </w:r>
      <w:r>
        <w:t xml:space="preserve"> сельского поселения</w:t>
      </w:r>
      <w:r/>
    </w:p>
    <w:p>
      <w:pPr>
        <w:ind w:firstLine="709"/>
        <w:jc w:val="both"/>
      </w:pPr>
      <w:r>
        <w:t xml:space="preserve">                                                                </w:t>
      </w:r>
      <w:r>
        <w:t xml:space="preserve">                            </w:t>
      </w:r>
      <w:r>
        <w:t xml:space="preserve">    </w:t>
      </w:r>
      <w:r>
        <w:t xml:space="preserve">от 15</w:t>
      </w:r>
      <w:r>
        <w:t xml:space="preserve">.10</w:t>
      </w:r>
      <w:r>
        <w:t xml:space="preserve">.</w:t>
      </w:r>
      <w:r>
        <w:t xml:space="preserve">2025</w:t>
      </w:r>
      <w:r>
        <w:t xml:space="preserve"> г.  № 11</w:t>
      </w: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планирования бюджетных ассигнований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 xml:space="preserve">поселение»  на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Настоящий порядок планирования бюджетных ассигнований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 на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(далее - Порядок) </w:t>
      </w:r>
      <w:r>
        <w:rPr>
          <w:bCs/>
          <w:sz w:val="28"/>
          <w:szCs w:val="28"/>
        </w:rPr>
        <w:t xml:space="preserve">устанавливает правила расчета бюджетных ассигнований</w:t>
      </w:r>
      <w:r>
        <w:rPr>
          <w:sz w:val="28"/>
          <w:szCs w:val="28"/>
        </w:rPr>
        <w:t xml:space="preserve"> 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 при подготовке проекта решения  о бюджете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 2026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Основные понятия и термины, используемые в настоящем Порядке, применяются в значениях, установленных Бюджетным кодексом Российской Федерации, нормативными правовыми актами Республики Татарстан и органом местного самоуправления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11" w:tooltip="consultantplus://offline/ref=A36928078EA3316DB587BD1E8D364D4C1E68051EE35C5EBC78A79033AEC2B4E414E38A29B433E0TCN" w:history="1">
        <w:r>
          <w:rPr>
            <w:sz w:val="28"/>
            <w:szCs w:val="28"/>
          </w:rPr>
          <w:t xml:space="preserve">статей </w:t>
        </w:r>
      </w:hyperlink>
      <w:r/>
      <w:hyperlink r:id="rId12" w:tooltip="consultantplus://offline/ref=A36928078EA3316DB587BD1E8D364D4C1E68051EE35C5EBC78A79033AEC2B4E414E38A29B734052EEFT6N" w:history="1">
        <w:r>
          <w:rPr>
            <w:sz w:val="28"/>
            <w:szCs w:val="28"/>
          </w:rPr>
          <w:t xml:space="preserve">69.1</w:t>
        </w:r>
      </w:hyperlink>
      <w:r>
        <w:rPr>
          <w:sz w:val="28"/>
          <w:szCs w:val="28"/>
        </w:rPr>
        <w:t xml:space="preserve">, </w:t>
      </w:r>
      <w:hyperlink r:id="rId13" w:tooltip="consultantplus://offline/ref=A36928078EA3316DB587BD1E8D364D4C1E68051EE35C5EBC78A79033AEC2B4E414E38A2BB635E0T5N" w:history="1">
        <w:r>
          <w:rPr>
            <w:sz w:val="28"/>
            <w:szCs w:val="28"/>
          </w:rPr>
          <w:t xml:space="preserve">70</w:t>
        </w:r>
      </w:hyperlink>
      <w:r>
        <w:rPr>
          <w:sz w:val="28"/>
          <w:szCs w:val="28"/>
        </w:rPr>
        <w:t xml:space="preserve">, </w:t>
      </w:r>
      <w:hyperlink r:id="rId14" w:tooltip="consultantplus://offline/ref=A36928078EA3316DB587BD1E8D364D4C1E68051EE35C5EBC78A79033AEC2B4E414E38A29B43FE0T4N" w:history="1">
        <w:r>
          <w:rPr>
            <w:sz w:val="28"/>
            <w:szCs w:val="28"/>
          </w:rPr>
          <w:t xml:space="preserve">74.1</w:t>
        </w:r>
      </w:hyperlink>
      <w:r>
        <w:rPr>
          <w:sz w:val="28"/>
          <w:szCs w:val="28"/>
        </w:rPr>
        <w:t xml:space="preserve">, </w:t>
      </w:r>
      <w:hyperlink r:id="rId15" w:tooltip="consultantplus://offline/ref=A36928078EA3316DB587BD1E8D364D4C1E68051EE35C5EBC78A79033AEC2B4E414E38A29B336E0TFN" w:history="1">
        <w:r>
          <w:rPr>
            <w:sz w:val="28"/>
            <w:szCs w:val="28"/>
          </w:rPr>
          <w:t xml:space="preserve">78</w:t>
        </w:r>
      </w:hyperlink>
      <w:r>
        <w:rPr>
          <w:sz w:val="28"/>
          <w:szCs w:val="28"/>
        </w:rPr>
        <w:t xml:space="preserve">, </w:t>
      </w:r>
      <w:hyperlink r:id="rId16" w:tooltip="consultantplus://offline/ref=A36928078EA3316DB587BD1E8D364D4C1E68051EE35C5EBC78A79033AEC2B4E414E38A2BB632E0T8N" w:history="1">
        <w:r>
          <w:rPr>
            <w:sz w:val="28"/>
            <w:szCs w:val="28"/>
          </w:rPr>
          <w:t xml:space="preserve">78.1</w:t>
        </w:r>
      </w:hyperlink>
      <w:r>
        <w:rPr>
          <w:sz w:val="28"/>
          <w:szCs w:val="28"/>
        </w:rPr>
        <w:t xml:space="preserve">, </w:t>
      </w:r>
      <w:hyperlink r:id="rId17" w:tooltip="consultantplus://offline/ref=A36928078EA3316DB587BD1E8D364D4C1E68051EE35C5EBC78A79033AEC2B4E414E38A29B337E0T4N" w:history="1">
        <w:r>
          <w:rPr>
            <w:sz w:val="28"/>
            <w:szCs w:val="28"/>
          </w:rPr>
          <w:t xml:space="preserve">79</w:t>
        </w:r>
      </w:hyperlink>
      <w:r>
        <w:rPr>
          <w:sz w:val="28"/>
          <w:szCs w:val="28"/>
        </w:rPr>
        <w:t xml:space="preserve">, </w:t>
      </w:r>
      <w:hyperlink r:id="rId18" w:tooltip="consultantplus://offline/ref=A36928078EA3316DB587BD1E8D364D4C1E68051EE35C5EBC78A79033AEC2B4E414E38A29B335E0T9N" w:history="1">
        <w:r>
          <w:rPr>
            <w:sz w:val="28"/>
            <w:szCs w:val="28"/>
          </w:rPr>
          <w:t xml:space="preserve">80</w:t>
        </w:r>
      </w:hyperlink>
      <w:r>
        <w:rPr>
          <w:sz w:val="28"/>
          <w:szCs w:val="28"/>
        </w:rPr>
        <w:t xml:space="preserve"> Бюджетного кодекса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Планирование бюджетных ассигнований осуществляется раздельно по действующим и принимаемым расходным обязательствам.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ab/>
        <w:t xml:space="preserve">Планирование действующих расходных обязательств на 2026</w:t>
      </w:r>
      <w:r>
        <w:rPr>
          <w:bCs/>
          <w:sz w:val="28"/>
          <w:szCs w:val="28"/>
        </w:rPr>
        <w:t xml:space="preserve"> - 2028</w:t>
      </w:r>
      <w:r>
        <w:rPr>
          <w:bCs/>
          <w:sz w:val="28"/>
          <w:szCs w:val="28"/>
        </w:rPr>
        <w:t xml:space="preserve"> годы основывается на изменении объемов бюджетных ассигнований на 2025</w:t>
      </w:r>
      <w:r>
        <w:rPr>
          <w:bCs/>
          <w:sz w:val="28"/>
          <w:szCs w:val="28"/>
        </w:rPr>
        <w:t xml:space="preserve"> год, утвержденных Решением № 09-15</w:t>
      </w:r>
      <w:r>
        <w:rPr>
          <w:bCs/>
          <w:sz w:val="28"/>
          <w:szCs w:val="28"/>
        </w:rPr>
        <w:t xml:space="preserve"> от 13</w:t>
      </w:r>
      <w:r>
        <w:rPr>
          <w:bCs/>
          <w:sz w:val="28"/>
          <w:szCs w:val="28"/>
        </w:rPr>
        <w:t xml:space="preserve">.12.202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«О  бюджете  муниципального образования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 на 2025</w:t>
      </w:r>
      <w:r>
        <w:rPr>
          <w:sz w:val="28"/>
          <w:szCs w:val="28"/>
        </w:rPr>
        <w:t xml:space="preserve"> год и на плановый период 2026</w:t>
      </w:r>
      <w:r>
        <w:rPr>
          <w:sz w:val="28"/>
          <w:szCs w:val="28"/>
        </w:rPr>
        <w:t xml:space="preserve"> и  2027</w:t>
      </w:r>
      <w:r>
        <w:rPr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 xml:space="preserve">, с учетом принятых или планируемых к принятию в 2025</w:t>
      </w:r>
      <w:r>
        <w:rPr>
          <w:bCs/>
          <w:sz w:val="28"/>
          <w:szCs w:val="28"/>
        </w:rPr>
        <w:t xml:space="preserve"> году решений, влекущих в перспективе изменения в объемах финансирования.</w:t>
      </w:r>
      <w:r>
        <w:rPr>
          <w:b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Планируемые объемы бюджетных ассигнований бюджета МО «</w:t>
      </w:r>
      <w:r>
        <w:rPr>
          <w:bCs/>
          <w:sz w:val="28"/>
          <w:szCs w:val="28"/>
        </w:rPr>
        <w:t xml:space="preserve">Афанасовское</w:t>
      </w:r>
      <w:r>
        <w:rPr>
          <w:bCs/>
          <w:sz w:val="28"/>
          <w:szCs w:val="28"/>
        </w:rPr>
        <w:t xml:space="preserve"> сельское поселение» могут корректироваться в зависимости от прогнозируемого объема доходов бюджета МО «</w:t>
      </w:r>
      <w:r>
        <w:rPr>
          <w:bCs/>
          <w:sz w:val="28"/>
          <w:szCs w:val="28"/>
        </w:rPr>
        <w:t xml:space="preserve">Афанасовское сельское поселение»</w:t>
      </w:r>
      <w:r>
        <w:rPr>
          <w:bCs/>
          <w:sz w:val="28"/>
          <w:szCs w:val="28"/>
        </w:rPr>
      </w:r>
    </w:p>
    <w:p>
      <w:r/>
      <w:r/>
    </w:p>
    <w:p>
      <w:r/>
      <w:r/>
    </w:p>
    <w:p>
      <w:r/>
      <w:r/>
    </w:p>
    <w:p>
      <w:pPr>
        <w:ind w:firstLine="5103"/>
        <w:jc w:val="both"/>
      </w:pPr>
      <w:r/>
      <w:r/>
    </w:p>
    <w:p>
      <w:pPr>
        <w:ind w:left="4956" w:firstLine="573"/>
        <w:jc w:val="both"/>
      </w:pPr>
      <w:r>
        <w:t xml:space="preserve">               Приложение № 2</w:t>
      </w:r>
      <w:r/>
    </w:p>
    <w:p>
      <w:pPr>
        <w:ind w:left="6358" w:right="-442"/>
        <w:spacing w:line="240" w:lineRule="atLeast"/>
      </w:pPr>
      <w:r>
        <w:t xml:space="preserve">к  Постановлению</w:t>
      </w:r>
      <w:r>
        <w:t xml:space="preserve"> руководителя</w:t>
      </w:r>
      <w:r/>
    </w:p>
    <w:p>
      <w:pPr>
        <w:ind w:left="6358" w:right="-442"/>
        <w:spacing w:line="240" w:lineRule="atLeast"/>
      </w:pPr>
      <w:r>
        <w:t xml:space="preserve">Исполнительного комитета</w:t>
      </w:r>
      <w:r/>
    </w:p>
    <w:p>
      <w:pPr>
        <w:ind w:left="6358" w:right="-442"/>
        <w:spacing w:line="240" w:lineRule="atLeast"/>
      </w:pPr>
      <w:r>
        <w:t xml:space="preserve">Афанасовского</w:t>
      </w:r>
      <w:r>
        <w:t xml:space="preserve"> сельского поселения</w:t>
      </w:r>
      <w:r/>
    </w:p>
    <w:p>
      <w:pPr>
        <w:ind w:firstLine="709"/>
        <w:jc w:val="both"/>
      </w:pPr>
      <w:r>
        <w:t xml:space="preserve">                                                               </w:t>
      </w:r>
      <w:r>
        <w:t xml:space="preserve">                       </w:t>
      </w:r>
      <w:r>
        <w:t xml:space="preserve"> </w:t>
      </w:r>
      <w:r>
        <w:t xml:space="preserve">       </w:t>
      </w:r>
      <w:r>
        <w:t xml:space="preserve">от 15</w:t>
      </w:r>
      <w:r>
        <w:t xml:space="preserve">.10</w:t>
      </w:r>
      <w:r>
        <w:t xml:space="preserve">.20</w:t>
      </w:r>
      <w:r>
        <w:t xml:space="preserve">25</w:t>
      </w:r>
      <w:r>
        <w:t xml:space="preserve"> г.  № 11</w:t>
      </w:r>
      <w:r/>
      <w:r/>
    </w:p>
    <w:p>
      <w:pPr>
        <w:jc w:val="center"/>
      </w:pP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планирования бюджетных ассигнований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годов.</w:t>
      </w:r>
      <w:r>
        <w:rPr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2. За базовые объемы бюджетных ассигнований для формирования расходов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принимаются  показатели 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год, утвержденные от 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декабря 2024</w:t>
      </w:r>
      <w:r>
        <w:rPr>
          <w:sz w:val="28"/>
          <w:szCs w:val="28"/>
        </w:rPr>
        <w:t xml:space="preserve"> года № 09</w:t>
      </w:r>
      <w:r>
        <w:rPr>
          <w:sz w:val="28"/>
          <w:szCs w:val="28"/>
        </w:rPr>
        <w:t xml:space="preserve">-15</w:t>
      </w:r>
      <w:r>
        <w:rPr>
          <w:sz w:val="28"/>
          <w:szCs w:val="28"/>
        </w:rPr>
        <w:t xml:space="preserve">«О  бюджете  муниципального образования «</w:t>
      </w:r>
      <w:r>
        <w:rPr>
          <w:sz w:val="28"/>
          <w:szCs w:val="28"/>
        </w:rPr>
        <w:t xml:space="preserve">Афанасовское </w:t>
      </w:r>
      <w:r>
        <w:rPr>
          <w:sz w:val="28"/>
          <w:szCs w:val="28"/>
        </w:rPr>
        <w:t xml:space="preserve">сельское поселение»  на 2025</w:t>
      </w:r>
      <w:r>
        <w:rPr>
          <w:sz w:val="28"/>
          <w:szCs w:val="28"/>
        </w:rPr>
        <w:t xml:space="preserve"> год и на плановый период 2026</w:t>
      </w:r>
      <w:r>
        <w:rPr>
          <w:sz w:val="28"/>
          <w:szCs w:val="28"/>
        </w:rPr>
        <w:t xml:space="preserve"> и  2027</w:t>
      </w:r>
      <w:r>
        <w:rPr>
          <w:sz w:val="28"/>
          <w:szCs w:val="28"/>
        </w:rPr>
        <w:t xml:space="preserve"> годов» (без учета внесенных в него изменений).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Базовые объемы бюджетных ассигнований корректируются с учетом следующих особенностей: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1) по решениям, принятым в 2025</w:t>
      </w:r>
      <w:r>
        <w:rPr>
          <w:sz w:val="28"/>
          <w:szCs w:val="28"/>
        </w:rPr>
        <w:t xml:space="preserve"> году, реализация которых осуществлялась не с начала финансового года, необходимо производить соответствующие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счеты бюджетных ассигнований до годовой потребности;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2) корректируются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2025</w:t>
      </w:r>
      <w:r>
        <w:rPr>
          <w:sz w:val="28"/>
          <w:szCs w:val="28"/>
        </w:rPr>
        <w:t xml:space="preserve"> году и подлежащих учету при уточнении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текущий год.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сторону уменьшения должна быть </w:t>
      </w:r>
      <w:r>
        <w:rPr>
          <w:sz w:val="28"/>
          <w:szCs w:val="28"/>
        </w:rPr>
        <w:t xml:space="preserve">осуществлена  корректировка</w:t>
      </w:r>
      <w:r>
        <w:rPr>
          <w:sz w:val="28"/>
          <w:szCs w:val="28"/>
        </w:rPr>
        <w:t xml:space="preserve"> базовых объемов бюджетных ассигнований на суммы: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расходов, дополнительно выделенных в 2025</w:t>
      </w:r>
      <w:r>
        <w:rPr>
          <w:sz w:val="28"/>
          <w:szCs w:val="28"/>
        </w:rPr>
        <w:t xml:space="preserve"> году и носящих единовременный характер, </w:t>
      </w:r>
      <w:r>
        <w:rPr>
          <w:color w:val="000000"/>
          <w:sz w:val="28"/>
          <w:szCs w:val="28"/>
        </w:rPr>
        <w:t xml:space="preserve">или </w:t>
      </w:r>
      <w:r>
        <w:rPr>
          <w:sz w:val="28"/>
          <w:szCs w:val="28"/>
        </w:rPr>
        <w:t xml:space="preserve">расходов по реализации решений, срок действия которых завершается в текущем году или ограничен плановым периодом.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При формировании </w:t>
      </w:r>
      <w:r>
        <w:rPr>
          <w:sz w:val="28"/>
          <w:szCs w:val="28"/>
        </w:rPr>
        <w:t xml:space="preserve">предложений для определения бюджетных ассигнований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2026</w:t>
      </w:r>
      <w:r>
        <w:rPr>
          <w:sz w:val="28"/>
          <w:szCs w:val="28"/>
        </w:rPr>
        <w:t xml:space="preserve"> год и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 в первую очередь должны быть удовлетворены потребности в соответствии с установленными нормами по расходам на оплату труда, начислениям на оплату труда,  коммунальных услуг.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 xml:space="preserve">Объемы бюджетных ассигнований на оплату труда и денежное содержание лиц, замещающих муниципальные должности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поселение», оплату труда работников, не отнесенных к должностям муниципальной службы, рассчитываются в условиях действующего законодательства с учетом следующих особенностей: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фонда оплаты труда корректируется с учетом повышения должностных окладов, тарифных ставок ежегодно.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Начисления на выплаты по оплате труда устанавливаются с учетом положений федеральных законов от 24 июля 2009 г. № 212-ФЗ «О страховых взносах в Пенсионный фонд Российской Фед</w:t>
      </w:r>
      <w:r>
        <w:rPr>
          <w:sz w:val="28"/>
          <w:szCs w:val="28"/>
        </w:rPr>
        <w:t xml:space="preserve">ерации, Фонд социального страхования Российской Федерации, Федеральный фонд обязательного медицинского страхования» и от 24 июля 1998 г. № 125-ФЗ «Об обязательном социальном страховании от несчастных случаев на производстве и профессиональных заболеваний».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  <w:t xml:space="preserve">Объем бюджетных ассигнований на оплату </w:t>
      </w:r>
      <w:r>
        <w:rPr>
          <w:sz w:val="28"/>
          <w:szCs w:val="28"/>
        </w:rPr>
        <w:t xml:space="preserve">коммунальных  услуг</w:t>
      </w:r>
      <w:r>
        <w:rPr>
          <w:sz w:val="28"/>
          <w:szCs w:val="28"/>
        </w:rPr>
        <w:t xml:space="preserve">  планируется исходя из годовых лимитов потребления, ежегодного роста расходов на </w:t>
      </w:r>
      <w:r>
        <w:rPr>
          <w:sz w:val="28"/>
          <w:szCs w:val="28"/>
        </w:rPr>
        <w:t xml:space="preserve">7,0</w:t>
      </w:r>
      <w:r>
        <w:rPr>
          <w:sz w:val="28"/>
          <w:szCs w:val="28"/>
        </w:rPr>
        <w:t xml:space="preserve">% и с учетом фактического расходования бюджетных ассигнований по данному направлению за 2025</w:t>
      </w:r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  <w:tab w:val="left" w:pos="1134" w:leader="none"/>
        </w:tabs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</w:t>
      </w:r>
      <w:r>
        <w:rPr>
          <w:color w:val="000000"/>
          <w:spacing w:val="-2"/>
          <w:sz w:val="28"/>
          <w:szCs w:val="28"/>
        </w:rPr>
        <w:t xml:space="preserve"> Планирование бюджетных ассигнований на  оплату потребления энергоресурсов для МО «</w:t>
      </w:r>
      <w:r>
        <w:rPr>
          <w:color w:val="000000"/>
          <w:spacing w:val="-2"/>
          <w:sz w:val="28"/>
          <w:szCs w:val="28"/>
        </w:rPr>
        <w:t xml:space="preserve">Афанасовское</w:t>
      </w:r>
      <w:r>
        <w:rPr>
          <w:color w:val="000000"/>
          <w:spacing w:val="-2"/>
          <w:sz w:val="28"/>
          <w:szCs w:val="28"/>
        </w:rPr>
        <w:t xml:space="preserve"> сельское поселение»  осуществляется в соответствии со статьей  24 Федерального закона от 23 ноября 2009 года № 261-ФЗ «Об энергосбережении и о повышении энергетической эффективности и о внесении в отдельные законодательные акты Российской Федерации».  </w:t>
      </w:r>
      <w:r>
        <w:rPr>
          <w:color w:val="000000"/>
          <w:spacing w:val="-2"/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Объемы бюджетных ассигнова</w:t>
      </w:r>
      <w:r>
        <w:rPr>
          <w:sz w:val="28"/>
          <w:szCs w:val="28"/>
        </w:rPr>
        <w:t xml:space="preserve">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Объемы бюджетных ассигнований по остальным видам (направлениям) расходов определяются без применения индексации  исходя из уровня  показателей бюджета МО «</w:t>
      </w:r>
      <w:r>
        <w:rPr>
          <w:sz w:val="28"/>
          <w:szCs w:val="28"/>
        </w:rPr>
        <w:t xml:space="preserve">Афанасовское</w:t>
      </w:r>
      <w:r>
        <w:rPr>
          <w:sz w:val="28"/>
          <w:szCs w:val="28"/>
        </w:rPr>
        <w:t xml:space="preserve"> сельское поселение» на  2025</w:t>
      </w:r>
      <w:r>
        <w:rPr>
          <w:sz w:val="28"/>
          <w:szCs w:val="28"/>
        </w:rPr>
      </w: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num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num" w:pos="851" w:leader="none"/>
        </w:tabs>
      </w:pPr>
      <w:r/>
      <w:r/>
    </w:p>
    <w:p>
      <w:pPr>
        <w:ind w:firstLine="567"/>
        <w:jc w:val="both"/>
        <w:tabs>
          <w:tab w:val="num" w:pos="851" w:leader="none"/>
        </w:tabs>
      </w:pPr>
      <w:r/>
      <w:r/>
    </w:p>
    <w:p>
      <w:pPr>
        <w:ind w:firstLine="567"/>
        <w:jc w:val="both"/>
        <w:tabs>
          <w:tab w:val="num" w:pos="851" w:leader="none"/>
        </w:tabs>
      </w:pPr>
      <w:r/>
      <w:r/>
    </w:p>
    <w:p>
      <w:pPr>
        <w:ind w:firstLine="567"/>
        <w:jc w:val="both"/>
        <w:tabs>
          <w:tab w:val="num" w:pos="851" w:leader="none"/>
        </w:tabs>
      </w:pPr>
      <w:r/>
      <w:r/>
    </w:p>
    <w:p>
      <w:pPr>
        <w:ind w:left="709"/>
        <w:rPr>
          <w:rFonts w:eastAsia="Calibri"/>
          <w:bCs/>
        </w:rPr>
      </w:pPr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ind w:right="426" w:firstLine="720"/>
        <w:jc w:val="both"/>
        <w:widowControl w:val="off"/>
      </w:pPr>
      <w:r/>
      <w:r/>
    </w:p>
    <w:p>
      <w:pPr>
        <w:ind w:left="5664" w:right="-442" w:firstLine="708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ind w:firstLine="720"/>
        <w:jc w:val="both"/>
        <w:widowControl w:val="off"/>
      </w:pPr>
      <w:r/>
      <w:r/>
    </w:p>
    <w:p>
      <w:pPr>
        <w:pStyle w:val="633"/>
        <w:ind w:right="4677"/>
        <w:jc w:val="both"/>
        <w:tabs>
          <w:tab w:val="left" w:pos="9072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pPr>
      <w:spacing w:after="0" w:line="240" w:lineRule="auto"/>
    </w:pPr>
    <w:rPr>
      <w:rFonts w:eastAsia="Times New Roman"/>
      <w:szCs w:val="24"/>
      <w:lang w:eastAsia="ar-SA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 w:customStyle="1">
    <w:name w:val="ConsPlusNormal"/>
    <w:pPr>
      <w:spacing w:after="0" w:line="240" w:lineRule="auto"/>
      <w:widowControl w:val="off"/>
    </w:pPr>
    <w:rPr>
      <w:rFonts w:eastAsia="Times New Roman"/>
      <w:lang w:eastAsia="ru-RU"/>
    </w:rPr>
  </w:style>
  <w:style w:type="paragraph" w:styleId="6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633" w:customStyle="1">
    <w:name w:val="ConsPlusTitle"/>
    <w:pPr>
      <w:spacing w:after="0" w:line="240" w:lineRule="auto"/>
      <w:widowControl w:val="off"/>
    </w:pPr>
    <w:rPr>
      <w:rFonts w:eastAsia="Times New Roman"/>
      <w:b/>
      <w:lang w:eastAsia="ru-RU"/>
    </w:rPr>
  </w:style>
  <w:style w:type="paragraph" w:styleId="6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635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6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lang w:eastAsia="ru-RU"/>
    </w:rPr>
  </w:style>
  <w:style w:type="paragraph" w:styleId="6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2"/>
      <w:lang w:eastAsia="ru-RU"/>
    </w:rPr>
  </w:style>
  <w:style w:type="paragraph" w:styleId="6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639" w:customStyle="1">
    <w:name w:val="Absatz-Standardschriftart"/>
  </w:style>
  <w:style w:type="paragraph" w:styleId="640" w:customStyle="1">
    <w:name w:val="Абзац списка1"/>
    <w:basedOn w:val="627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41">
    <w:name w:val="List Paragraph"/>
    <w:basedOn w:val="627"/>
    <w:uiPriority w:val="34"/>
    <w:qFormat/>
    <w:pPr>
      <w:contextualSpacing/>
      <w:ind w:left="720"/>
    </w:pPr>
  </w:style>
  <w:style w:type="character" w:styleId="642">
    <w:name w:val="Hyperlink"/>
    <w:basedOn w:val="628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fanasovskoe.sp@tatar.ru" TargetMode="External"/><Relationship Id="rId11" Type="http://schemas.openxmlformats.org/officeDocument/2006/relationships/hyperlink" Target="consultantplus://offline/ref=A36928078EA3316DB587BD1E8D364D4C1E68051EE35C5EBC78A79033AEC2B4E414E38A29B433E0TCN" TargetMode="External"/><Relationship Id="rId12" Type="http://schemas.openxmlformats.org/officeDocument/2006/relationships/hyperlink" Target="consultantplus://offline/ref=A36928078EA3316DB587BD1E8D364D4C1E68051EE35C5EBC78A79033AEC2B4E414E38A29B734052EEFT6N" TargetMode="External"/><Relationship Id="rId13" Type="http://schemas.openxmlformats.org/officeDocument/2006/relationships/hyperlink" Target="consultantplus://offline/ref=A36928078EA3316DB587BD1E8D364D4C1E68051EE35C5EBC78A79033AEC2B4E414E38A2BB635E0T5N" TargetMode="External"/><Relationship Id="rId14" Type="http://schemas.openxmlformats.org/officeDocument/2006/relationships/hyperlink" Target="consultantplus://offline/ref=A36928078EA3316DB587BD1E8D364D4C1E68051EE35C5EBC78A79033AEC2B4E414E38A29B43FE0T4N" TargetMode="External"/><Relationship Id="rId15" Type="http://schemas.openxmlformats.org/officeDocument/2006/relationships/hyperlink" Target="consultantplus://offline/ref=A36928078EA3316DB587BD1E8D364D4C1E68051EE35C5EBC78A79033AEC2B4E414E38A29B336E0TFN" TargetMode="External"/><Relationship Id="rId16" Type="http://schemas.openxmlformats.org/officeDocument/2006/relationships/hyperlink" Target="consultantplus://offline/ref=A36928078EA3316DB587BD1E8D364D4C1E68051EE35C5EBC78A79033AEC2B4E414E38A2BB632E0T8N" TargetMode="External"/><Relationship Id="rId17" Type="http://schemas.openxmlformats.org/officeDocument/2006/relationships/hyperlink" Target="consultantplus://offline/ref=A36928078EA3316DB587BD1E8D364D4C1E68051EE35C5EBC78A79033AEC2B4E414E38A29B337E0T4N" TargetMode="External"/><Relationship Id="rId18" Type="http://schemas.openxmlformats.org/officeDocument/2006/relationships/hyperlink" Target="consultantplus://offline/ref=A36928078EA3316DB587BD1E8D364D4C1E68051EE35C5EBC78A79033AEC2B4E414E38A29B335E0T9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C530-3776-486F-82E2-00BF755C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КСП-НК</dc:creator>
  <cp:lastModifiedBy>User</cp:lastModifiedBy>
  <cp:revision>3</cp:revision>
  <dcterms:created xsi:type="dcterms:W3CDTF">2024-11-14T12:42:00Z</dcterms:created>
  <dcterms:modified xsi:type="dcterms:W3CDTF">2025-11-17T07:35:16Z</dcterms:modified>
</cp:coreProperties>
</file>